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right="-4.724409448817823"/>
        <w:jc w:val="both"/>
        <w:rPr>
          <w:b w:val="1"/>
          <w:sz w:val="30"/>
          <w:szCs w:val="30"/>
        </w:rPr>
      </w:pPr>
      <w:bookmarkStart w:colFirst="0" w:colLast="0" w:name="_h3461epoqy7o" w:id="0"/>
      <w:bookmarkEnd w:id="0"/>
      <w:r w:rsidDel="00000000" w:rsidR="00000000" w:rsidRPr="00000000">
        <w:rPr>
          <w:b w:val="1"/>
          <w:sz w:val="30"/>
          <w:szCs w:val="30"/>
          <w:rtl w:val="0"/>
        </w:rPr>
        <w:t xml:space="preserve">Plány Microsoft 365 Enterprise už neobsahujú službu Teams.</w:t>
      </w:r>
      <w:r w:rsidDel="00000000" w:rsidR="00000000" w:rsidRPr="00000000">
        <w:rPr>
          <w:b w:val="1"/>
          <w:sz w:val="30"/>
          <w:szCs w:val="30"/>
          <w:rtl w:val="0"/>
        </w:rPr>
        <w:br w:type="textWrapping"/>
        <w:t xml:space="preserve">Riešenia spočívajú v druhotnom softvéri alebo alternatívach</w:t>
      </w:r>
    </w:p>
    <w:p w:rsidR="00000000" w:rsidDel="00000000" w:rsidP="00000000" w:rsidRDefault="00000000" w:rsidRPr="00000000" w14:paraId="00000002">
      <w:pPr>
        <w:spacing w:line="276" w:lineRule="auto"/>
        <w:rPr>
          <w:sz w:val="24"/>
          <w:szCs w:val="24"/>
        </w:rPr>
      </w:pPr>
      <w:r w:rsidDel="00000000" w:rsidR="00000000" w:rsidRPr="00000000">
        <w:rPr>
          <w:rtl w:val="0"/>
        </w:rPr>
      </w:r>
    </w:p>
    <w:p w:rsidR="00000000" w:rsidDel="00000000" w:rsidP="00000000" w:rsidRDefault="00000000" w:rsidRPr="00000000" w14:paraId="00000003">
      <w:pPr>
        <w:spacing w:line="276" w:lineRule="auto"/>
        <w:rPr>
          <w:sz w:val="24"/>
          <w:szCs w:val="24"/>
        </w:rPr>
      </w:pPr>
      <w:r w:rsidDel="00000000" w:rsidR="00000000" w:rsidRPr="00000000">
        <w:rPr>
          <w:sz w:val="24"/>
          <w:szCs w:val="24"/>
          <w:rtl w:val="0"/>
        </w:rPr>
        <w:t xml:space="preserve">Tlačová správa</w:t>
      </w:r>
    </w:p>
    <w:p w:rsidR="00000000" w:rsidDel="00000000" w:rsidP="00000000" w:rsidRDefault="00000000" w:rsidRPr="00000000" w14:paraId="00000004">
      <w:pPr>
        <w:spacing w:line="276" w:lineRule="auto"/>
        <w:rPr>
          <w:b w:val="1"/>
          <w:sz w:val="24"/>
          <w:szCs w:val="24"/>
        </w:rPr>
      </w:pPr>
      <w:r w:rsidDel="00000000" w:rsidR="00000000" w:rsidRPr="00000000">
        <w:rPr>
          <w:rtl w:val="0"/>
        </w:rPr>
      </w:r>
    </w:p>
    <w:p w:rsidR="00000000" w:rsidDel="00000000" w:rsidP="00000000" w:rsidRDefault="00000000" w:rsidRPr="00000000" w14:paraId="00000005">
      <w:pPr>
        <w:spacing w:line="276" w:lineRule="auto"/>
        <w:rPr>
          <w:b w:val="1"/>
          <w:sz w:val="24"/>
          <w:szCs w:val="24"/>
        </w:rPr>
      </w:pPr>
      <w:r w:rsidDel="00000000" w:rsidR="00000000" w:rsidRPr="00000000">
        <w:rPr>
          <w:b w:val="1"/>
          <w:sz w:val="24"/>
          <w:szCs w:val="24"/>
          <w:rtl w:val="0"/>
        </w:rPr>
        <w:t xml:space="preserve">Od októbra 2023 spoločnosť Microsoft odstránila aplikáciu Teams zo svojich balíkov Enterprise pre EHP a Švajčiarsko. Dotknuté plány predplatného už neobsahujú obľúbenú službu na spoluprácu.</w:t>
      </w:r>
    </w:p>
    <w:p w:rsidR="00000000" w:rsidDel="00000000" w:rsidP="00000000" w:rsidRDefault="00000000" w:rsidRPr="00000000" w14:paraId="00000006">
      <w:pPr>
        <w:spacing w:line="276" w:lineRule="auto"/>
        <w:rPr>
          <w:sz w:val="24"/>
          <w:szCs w:val="24"/>
        </w:rPr>
      </w:pPr>
      <w:r w:rsidDel="00000000" w:rsidR="00000000" w:rsidRPr="00000000">
        <w:rPr>
          <w:rtl w:val="0"/>
        </w:rPr>
      </w:r>
    </w:p>
    <w:p w:rsidR="00000000" w:rsidDel="00000000" w:rsidP="00000000" w:rsidRDefault="00000000" w:rsidRPr="00000000" w14:paraId="00000007">
      <w:pPr>
        <w:spacing w:line="276" w:lineRule="auto"/>
        <w:rPr>
          <w:sz w:val="24"/>
          <w:szCs w:val="24"/>
        </w:rPr>
      </w:pPr>
      <w:r w:rsidDel="00000000" w:rsidR="00000000" w:rsidRPr="00000000">
        <w:rPr>
          <w:sz w:val="24"/>
          <w:szCs w:val="24"/>
          <w:rtl w:val="0"/>
        </w:rPr>
        <w:t xml:space="preserve">Odstránenie obľúbeného produktu je dôsledkom snahy Európskej komisie o spravodlivý trh bez monopolov. Súčasná situácia je výsledkom sťažností spoločnosti Slack, ktorá konkuruje službe Teams. Spoločnosť tvrdila, že Microsoft získava nespravodlivú výhodu tým, že aplikáciu Teams viaže na svoje balíky Office, čím obmedzuje konkurenciu, ktorá by inak mohla poskytovať rovnako vhodné služby na komunikáciu a spoluprácu.</w:t>
      </w:r>
    </w:p>
    <w:p w:rsidR="00000000" w:rsidDel="00000000" w:rsidP="00000000" w:rsidRDefault="00000000" w:rsidRPr="00000000" w14:paraId="00000008">
      <w:pPr>
        <w:spacing w:line="276" w:lineRule="auto"/>
        <w:rPr>
          <w:sz w:val="24"/>
          <w:szCs w:val="24"/>
        </w:rPr>
      </w:pPr>
      <w:r w:rsidDel="00000000" w:rsidR="00000000" w:rsidRPr="00000000">
        <w:rPr>
          <w:rtl w:val="0"/>
        </w:rPr>
      </w:r>
    </w:p>
    <w:p w:rsidR="00000000" w:rsidDel="00000000" w:rsidP="00000000" w:rsidRDefault="00000000" w:rsidRPr="00000000" w14:paraId="00000009">
      <w:pPr>
        <w:spacing w:line="276" w:lineRule="auto"/>
        <w:rPr>
          <w:sz w:val="24"/>
          <w:szCs w:val="24"/>
        </w:rPr>
      </w:pPr>
      <w:r w:rsidDel="00000000" w:rsidR="00000000" w:rsidRPr="00000000">
        <w:rPr>
          <w:sz w:val="24"/>
          <w:szCs w:val="24"/>
          <w:rtl w:val="0"/>
        </w:rPr>
        <w:t xml:space="preserve">Zavedené zmeny sa týkajú najmä organizácií zamestnávajúcich viac ako 300 ľudí. Podniky, ktoré si zakúpia predplatné Enterprise po 1. októbri 2023, budú musieť dodržiavať nové pravidlá. Tí, ktorí si zakúpili plán predplatného skôr, majú na výber - buď zostanú pri tom, čo už majú, alebo prejdú na novú, o niečo lacnejšiu verziu, ale bez služby Teams.</w:t>
      </w:r>
    </w:p>
    <w:p w:rsidR="00000000" w:rsidDel="00000000" w:rsidP="00000000" w:rsidRDefault="00000000" w:rsidRPr="00000000" w14:paraId="0000000A">
      <w:pPr>
        <w:spacing w:line="276" w:lineRule="auto"/>
        <w:rPr>
          <w:sz w:val="24"/>
          <w:szCs w:val="24"/>
        </w:rPr>
      </w:pPr>
      <w:r w:rsidDel="00000000" w:rsidR="00000000" w:rsidRPr="00000000">
        <w:rPr>
          <w:rtl w:val="0"/>
        </w:rPr>
      </w:r>
    </w:p>
    <w:p w:rsidR="00000000" w:rsidDel="00000000" w:rsidP="00000000" w:rsidRDefault="00000000" w:rsidRPr="00000000" w14:paraId="0000000B">
      <w:pPr>
        <w:spacing w:line="276" w:lineRule="auto"/>
        <w:rPr>
          <w:color w:val="1d1d1b"/>
          <w:sz w:val="24"/>
          <w:szCs w:val="24"/>
        </w:rPr>
      </w:pPr>
      <w:r w:rsidDel="00000000" w:rsidR="00000000" w:rsidRPr="00000000">
        <w:rPr>
          <w:sz w:val="24"/>
          <w:szCs w:val="24"/>
          <w:rtl w:val="0"/>
        </w:rPr>
        <w:t xml:space="preserve">Zotrvanie v rámci ekosystému Microsoft 365, ktorý je určený len na predplatné, je najbežnejší, ale pravdepodobne najmenej optimalizovaný prístup. Pre niektorých podnikových predplatiteľov to dokonca nebude tento rok prvýkrát, čo budú musieť prehodnotiť svoju IT infraštruktúru a rozpočet - Microsoft už v apríli zvýšil ceny niektorých z týchto plánov. Bohužiaľ, ak sú funkcie Microsoft 365 pre firemné procesy absolútne kľúčové, môže to byť jediná možnosť.</w:t>
      </w:r>
      <w:r w:rsidDel="00000000" w:rsidR="00000000" w:rsidRPr="00000000">
        <w:rPr>
          <w:rtl w:val="0"/>
        </w:rPr>
      </w:r>
    </w:p>
    <w:p w:rsidR="00000000" w:rsidDel="00000000" w:rsidP="00000000" w:rsidRDefault="00000000" w:rsidRPr="00000000" w14:paraId="0000000C">
      <w:pPr>
        <w:spacing w:line="276" w:lineRule="auto"/>
        <w:rPr>
          <w:sz w:val="24"/>
          <w:szCs w:val="24"/>
        </w:rPr>
      </w:pPr>
      <w:r w:rsidDel="00000000" w:rsidR="00000000" w:rsidRPr="00000000">
        <w:rPr>
          <w:rtl w:val="0"/>
        </w:rPr>
      </w:r>
    </w:p>
    <w:p w:rsidR="00000000" w:rsidDel="00000000" w:rsidP="00000000" w:rsidRDefault="00000000" w:rsidRPr="00000000" w14:paraId="0000000D">
      <w:pPr>
        <w:spacing w:line="276" w:lineRule="auto"/>
        <w:rPr>
          <w:strike w:val="1"/>
          <w:sz w:val="24"/>
          <w:szCs w:val="24"/>
        </w:rPr>
      </w:pPr>
      <w:r w:rsidDel="00000000" w:rsidR="00000000" w:rsidRPr="00000000">
        <w:rPr>
          <w:sz w:val="24"/>
          <w:szCs w:val="24"/>
          <w:rtl w:val="0"/>
        </w:rPr>
        <w:t xml:space="preserve">Ak to však potreby spoločnosti v oblasti IT umožňujú, existujú aj iné, cenovo podstatne výhodnejšie možnosti. Podľa odborníkov zo spoločnosti Forscope, ktorá sa zaoberá sprostredkovaním softvérových riešení pre stredné a veľké organizácie, existujú dve riešenia, ktoré by organizácie mohli zvážiť, aby časom výrazne znížili svoje výdavky:</w:t>
      </w:r>
      <w:r w:rsidDel="00000000" w:rsidR="00000000" w:rsidRPr="00000000">
        <w:rPr>
          <w:rtl w:val="0"/>
        </w:rPr>
      </w:r>
    </w:p>
    <w:p w:rsidR="00000000" w:rsidDel="00000000" w:rsidP="00000000" w:rsidRDefault="00000000" w:rsidRPr="00000000" w14:paraId="0000000E">
      <w:pPr>
        <w:shd w:fill="ffffff" w:val="clear"/>
        <w:spacing w:line="276" w:lineRule="auto"/>
        <w:ind w:left="720" w:firstLine="0"/>
        <w:rPr>
          <w:color w:val="1d1d1b"/>
          <w:sz w:val="24"/>
          <w:szCs w:val="24"/>
        </w:rPr>
      </w:pPr>
      <w:r w:rsidDel="00000000" w:rsidR="00000000" w:rsidRPr="00000000">
        <w:rPr>
          <w:rtl w:val="0"/>
        </w:rPr>
      </w:r>
    </w:p>
    <w:p w:rsidR="00000000" w:rsidDel="00000000" w:rsidP="00000000" w:rsidRDefault="00000000" w:rsidRPr="00000000" w14:paraId="0000000F">
      <w:pPr>
        <w:numPr>
          <w:ilvl w:val="0"/>
          <w:numId w:val="1"/>
        </w:numPr>
        <w:shd w:fill="ffffff" w:val="clear"/>
        <w:spacing w:line="276" w:lineRule="auto"/>
        <w:ind w:left="640" w:hanging="360"/>
        <w:rPr>
          <w:rFonts w:ascii="Proxima Nova" w:cs="Proxima Nova" w:eastAsia="Proxima Nova" w:hAnsi="Proxima Nova"/>
          <w:sz w:val="24"/>
          <w:szCs w:val="24"/>
        </w:rPr>
      </w:pPr>
      <w:r w:rsidDel="00000000" w:rsidR="00000000" w:rsidRPr="00000000">
        <w:rPr>
          <w:b w:val="1"/>
          <w:color w:val="1d1d1b"/>
          <w:sz w:val="24"/>
          <w:szCs w:val="24"/>
          <w:rtl w:val="0"/>
        </w:rPr>
        <w:t xml:space="preserve">Hybridné riešenie: </w:t>
      </w:r>
      <w:r w:rsidDel="00000000" w:rsidR="00000000" w:rsidRPr="00000000">
        <w:rPr>
          <w:color w:val="1d1d1b"/>
          <w:sz w:val="24"/>
          <w:szCs w:val="24"/>
          <w:rtl w:val="0"/>
        </w:rPr>
        <w:t xml:space="preserve">Druhotný trvalý Microsoft Office + Microsoft Teams EEA. Ak firma potrebuje plány Microsoft 365 najmä na používanie štandardných programov Office a Teams, táto nová zmena pre ňu môže byť skvelá, pretože väčšinu ročných nákladných služieb možno nahradiť jednorazovou platbou za druhotný trvalý </w:t>
      </w:r>
      <w:hyperlink r:id="rId6">
        <w:r w:rsidDel="00000000" w:rsidR="00000000" w:rsidRPr="00000000">
          <w:rPr>
            <w:sz w:val="24"/>
            <w:szCs w:val="24"/>
            <w:u w:val="single"/>
            <w:rtl w:val="0"/>
          </w:rPr>
          <w:t xml:space="preserve">Office</w:t>
        </w:r>
      </w:hyperlink>
      <w:r w:rsidDel="00000000" w:rsidR="00000000" w:rsidRPr="00000000">
        <w:rPr>
          <w:color w:val="1d1d1b"/>
          <w:sz w:val="24"/>
          <w:szCs w:val="24"/>
          <w:rtl w:val="0"/>
        </w:rPr>
        <w:t xml:space="preserve"> a zároveň si samostatne predplatiť </w:t>
      </w:r>
      <w:hyperlink r:id="rId7">
        <w:r w:rsidDel="00000000" w:rsidR="00000000" w:rsidRPr="00000000">
          <w:rPr>
            <w:sz w:val="24"/>
            <w:szCs w:val="24"/>
            <w:u w:val="single"/>
            <w:rtl w:val="0"/>
          </w:rPr>
          <w:t xml:space="preserve">Teams EEA.</w:t>
        </w:r>
      </w:hyperlink>
      <w:r w:rsidDel="00000000" w:rsidR="00000000" w:rsidRPr="00000000">
        <w:rPr>
          <w:rtl w:val="0"/>
        </w:rPr>
      </w:r>
    </w:p>
    <w:p w:rsidR="00000000" w:rsidDel="00000000" w:rsidP="00000000" w:rsidRDefault="00000000" w:rsidRPr="00000000" w14:paraId="00000010">
      <w:pPr>
        <w:shd w:fill="ffffff" w:val="clear"/>
        <w:spacing w:line="276" w:lineRule="auto"/>
        <w:ind w:left="720" w:firstLine="0"/>
        <w:rPr>
          <w:color w:val="1d1d1b"/>
          <w:sz w:val="24"/>
          <w:szCs w:val="24"/>
        </w:rPr>
      </w:pPr>
      <w:r w:rsidDel="00000000" w:rsidR="00000000" w:rsidRPr="00000000">
        <w:rPr>
          <w:rtl w:val="0"/>
        </w:rPr>
      </w:r>
    </w:p>
    <w:p w:rsidR="00000000" w:rsidDel="00000000" w:rsidP="00000000" w:rsidRDefault="00000000" w:rsidRPr="00000000" w14:paraId="00000011">
      <w:pPr>
        <w:numPr>
          <w:ilvl w:val="0"/>
          <w:numId w:val="1"/>
        </w:numPr>
        <w:shd w:fill="ffffff" w:val="clear"/>
        <w:spacing w:line="276" w:lineRule="auto"/>
        <w:ind w:left="640" w:hanging="360"/>
        <w:rPr>
          <w:rFonts w:ascii="Proxima Nova" w:cs="Proxima Nova" w:eastAsia="Proxima Nova" w:hAnsi="Proxima Nova"/>
          <w:sz w:val="24"/>
          <w:szCs w:val="24"/>
        </w:rPr>
      </w:pPr>
      <w:r w:rsidDel="00000000" w:rsidR="00000000" w:rsidRPr="00000000">
        <w:rPr>
          <w:b w:val="1"/>
          <w:color w:val="1d1d1b"/>
          <w:sz w:val="24"/>
          <w:szCs w:val="24"/>
          <w:rtl w:val="0"/>
        </w:rPr>
        <w:t xml:space="preserve">Alternatívne riešenie: </w:t>
      </w:r>
      <w:r w:rsidDel="00000000" w:rsidR="00000000" w:rsidRPr="00000000">
        <w:rPr>
          <w:color w:val="1d1d1b"/>
          <w:sz w:val="24"/>
          <w:szCs w:val="24"/>
          <w:rtl w:val="0"/>
        </w:rPr>
        <w:t xml:space="preserve">spoločnosť sa môže rozhodnúť úplne sa odhlásiť od spoločnosti Microsoft a prejsť na inú platformu, napríklad IceWarp. Obsahuje aplikácie a služby rovnocenné s aplikáciami a službami balíka Office 365 E3 (Word, Excel, PowerPoint, Outlook, OneNote, Exchange, SharePoint, OneDrive). </w:t>
        <w:br w:type="textWrapping"/>
        <w:br w:type="textWrapping"/>
      </w:r>
      <w:hyperlink r:id="rId8">
        <w:r w:rsidDel="00000000" w:rsidR="00000000" w:rsidRPr="00000000">
          <w:rPr>
            <w:sz w:val="24"/>
            <w:szCs w:val="24"/>
            <w:u w:val="single"/>
            <w:rtl w:val="0"/>
          </w:rPr>
          <w:t xml:space="preserve">IceWarp</w:t>
        </w:r>
      </w:hyperlink>
      <w:r w:rsidDel="00000000" w:rsidR="00000000" w:rsidRPr="00000000">
        <w:rPr>
          <w:color w:val="1d1d1b"/>
          <w:sz w:val="24"/>
          <w:szCs w:val="24"/>
          <w:rtl w:val="0"/>
        </w:rPr>
        <w:t xml:space="preserve"> je alternatíva Microsoft 365, ktorá ponúka podobné aplikácie, nástroje, funkcie a dokonca aj používateľské rozhranie, je za výrazne nižšiu cenu (v priemere minimálne 2-krát lacnejšia) a zahŕňa </w:t>
      </w:r>
      <w:r w:rsidDel="00000000" w:rsidR="00000000" w:rsidRPr="00000000">
        <w:rPr>
          <w:color w:val="1d1d1b"/>
          <w:sz w:val="24"/>
          <w:szCs w:val="24"/>
          <w:highlight w:val="white"/>
          <w:rtl w:val="0"/>
        </w:rPr>
        <w:t xml:space="preserve">možnosť jednoduchej migrácie zo služieb Microsoft, s ktorou vám pomôžu pracovníci podpory IceWarp.</w:t>
      </w:r>
      <w:r w:rsidDel="00000000" w:rsidR="00000000" w:rsidRPr="00000000">
        <w:rPr>
          <w:color w:val="1d1d1b"/>
          <w:sz w:val="24"/>
          <w:szCs w:val="24"/>
          <w:rtl w:val="0"/>
        </w:rPr>
        <w:t xml:space="preserve">  </w:t>
      </w:r>
      <w:r w:rsidDel="00000000" w:rsidR="00000000" w:rsidRPr="00000000">
        <w:rPr>
          <w:rtl w:val="0"/>
        </w:rPr>
      </w:r>
    </w:p>
    <w:p w:rsidR="00000000" w:rsidDel="00000000" w:rsidP="00000000" w:rsidRDefault="00000000" w:rsidRPr="00000000" w14:paraId="00000012">
      <w:pPr>
        <w:shd w:fill="ffffff" w:val="clear"/>
        <w:spacing w:line="276" w:lineRule="auto"/>
        <w:rPr>
          <w:color w:val="1d1d1b"/>
          <w:sz w:val="24"/>
          <w:szCs w:val="24"/>
        </w:rPr>
      </w:pPr>
      <w:r w:rsidDel="00000000" w:rsidR="00000000" w:rsidRPr="00000000">
        <w:rPr>
          <w:rtl w:val="0"/>
        </w:rPr>
      </w:r>
    </w:p>
    <w:p w:rsidR="00000000" w:rsidDel="00000000" w:rsidP="00000000" w:rsidRDefault="00000000" w:rsidRPr="00000000" w14:paraId="00000013">
      <w:pPr>
        <w:shd w:fill="ffffff" w:val="clear"/>
        <w:spacing w:line="276" w:lineRule="auto"/>
        <w:jc w:val="center"/>
        <w:rPr>
          <w:b w:val="1"/>
          <w:color w:val="1d1d1b"/>
          <w:sz w:val="24"/>
          <w:szCs w:val="24"/>
        </w:rPr>
      </w:pPr>
      <w:r w:rsidDel="00000000" w:rsidR="00000000" w:rsidRPr="00000000">
        <w:rPr>
          <w:b w:val="1"/>
          <w:color w:val="1d1d1b"/>
          <w:sz w:val="24"/>
          <w:szCs w:val="24"/>
          <w:rtl w:val="0"/>
        </w:rPr>
        <w:t xml:space="preserve">Porovnanie cien 3 vzorových riešení</w:t>
        <w:br w:type="textWrapping"/>
        <w:t xml:space="preserve">(hypotetická spoločnosť s 350 zamestnancami počas 5 rokov</w:t>
      </w:r>
    </w:p>
    <w:p w:rsidR="00000000" w:rsidDel="00000000" w:rsidP="00000000" w:rsidRDefault="00000000" w:rsidRPr="00000000" w14:paraId="00000014">
      <w:pPr>
        <w:shd w:fill="ffffff" w:val="clear"/>
        <w:spacing w:line="276" w:lineRule="auto"/>
        <w:rPr>
          <w:color w:val="1d1d1b"/>
          <w:sz w:val="24"/>
          <w:szCs w:val="24"/>
        </w:rPr>
      </w:pPr>
      <w:r w:rsidDel="00000000" w:rsidR="00000000" w:rsidRPr="00000000">
        <w:rPr>
          <w:rtl w:val="0"/>
        </w:rPr>
      </w:r>
    </w:p>
    <w:p w:rsidR="00000000" w:rsidDel="00000000" w:rsidP="00000000" w:rsidRDefault="00000000" w:rsidRPr="00000000" w14:paraId="00000015">
      <w:pPr>
        <w:shd w:fill="ffffff" w:val="clear"/>
        <w:spacing w:line="276" w:lineRule="auto"/>
        <w:jc w:val="center"/>
        <w:rPr>
          <w:color w:val="1d1d1b"/>
          <w:sz w:val="24"/>
          <w:szCs w:val="24"/>
        </w:rPr>
      </w:pPr>
      <w:r w:rsidDel="00000000" w:rsidR="00000000" w:rsidRPr="00000000">
        <w:rPr>
          <w:color w:val="1d1d1b"/>
          <w:sz w:val="24"/>
          <w:szCs w:val="24"/>
        </w:rPr>
        <w:drawing>
          <wp:inline distB="114300" distT="114300" distL="114300" distR="114300">
            <wp:extent cx="5143500" cy="3714750"/>
            <wp:effectExtent b="0" l="0" r="0" t="0"/>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143500" cy="371475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spacing w:line="276" w:lineRule="auto"/>
        <w:rPr>
          <w:sz w:val="24"/>
          <w:szCs w:val="24"/>
        </w:rPr>
      </w:pPr>
      <w:r w:rsidDel="00000000" w:rsidR="00000000" w:rsidRPr="00000000">
        <w:rPr>
          <w:rtl w:val="0"/>
        </w:rPr>
      </w:r>
    </w:p>
    <w:p w:rsidR="00000000" w:rsidDel="00000000" w:rsidP="00000000" w:rsidRDefault="00000000" w:rsidRPr="00000000" w14:paraId="00000017">
      <w:pPr>
        <w:spacing w:line="276" w:lineRule="auto"/>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Podnikanie nikdy nie je univerzálne a to isté platí aj pre softvérové riešenia. Vo veľkých podnikoch je často výhodné kombinovať rôzne licenčné modely, aby sa dosiahlo nákladovo najefektívnejšie nastavenie. </w:t>
      </w:r>
      <w:r w:rsidDel="00000000" w:rsidR="00000000" w:rsidRPr="00000000">
        <w:rPr>
          <w:b w:val="1"/>
          <w:i w:val="1"/>
          <w:sz w:val="24"/>
          <w:szCs w:val="24"/>
          <w:rtl w:val="0"/>
        </w:rPr>
        <w:t xml:space="preserve">Kľúčom je zosúladiť softvérovú stratégiu s </w:t>
      </w:r>
      <w:r w:rsidDel="00000000" w:rsidR="00000000" w:rsidRPr="00000000">
        <w:rPr>
          <w:b w:val="1"/>
          <w:sz w:val="24"/>
          <w:szCs w:val="24"/>
          <w:rtl w:val="0"/>
        </w:rPr>
        <w:t xml:space="preserve">vašimi </w:t>
      </w:r>
      <w:r w:rsidDel="00000000" w:rsidR="00000000" w:rsidRPr="00000000">
        <w:rPr>
          <w:b w:val="1"/>
          <w:i w:val="1"/>
          <w:sz w:val="24"/>
          <w:szCs w:val="24"/>
          <w:rtl w:val="0"/>
        </w:rPr>
        <w:t xml:space="preserve">prevádzkovými potrebami, nie s potrebami výrobcu softvéru</w:t>
      </w:r>
      <w:r w:rsidDel="00000000" w:rsidR="00000000" w:rsidRPr="00000000">
        <w:rPr>
          <w:i w:val="1"/>
          <w:sz w:val="24"/>
          <w:szCs w:val="24"/>
          <w:rtl w:val="0"/>
        </w:rPr>
        <w:t xml:space="preserve">. Existujú rôzne alternatívy, napríklad IceWarp, ktoré poskytujú rovnako robustné služby, avšak za oveľa nižšiu cenu,</w:t>
      </w:r>
      <w:r w:rsidDel="00000000" w:rsidR="00000000" w:rsidRPr="00000000">
        <w:rPr>
          <w:sz w:val="24"/>
          <w:szCs w:val="24"/>
          <w:rtl w:val="0"/>
        </w:rPr>
        <w:t xml:space="preserve">" hovorí Mateusz Drozdowski, Product Manager v spoločnosti Forscope.</w:t>
      </w:r>
    </w:p>
    <w:p w:rsidR="00000000" w:rsidDel="00000000" w:rsidP="00000000" w:rsidRDefault="00000000" w:rsidRPr="00000000" w14:paraId="00000018">
      <w:pPr>
        <w:spacing w:line="276" w:lineRule="auto"/>
        <w:rPr>
          <w:sz w:val="24"/>
          <w:szCs w:val="24"/>
        </w:rPr>
      </w:pPr>
      <w:r w:rsidDel="00000000" w:rsidR="00000000" w:rsidRPr="00000000">
        <w:rPr>
          <w:rtl w:val="0"/>
        </w:rPr>
      </w:r>
    </w:p>
    <w:p w:rsidR="00000000" w:rsidDel="00000000" w:rsidP="00000000" w:rsidRDefault="00000000" w:rsidRPr="00000000" w14:paraId="00000019">
      <w:pPr>
        <w:spacing w:line="276" w:lineRule="auto"/>
        <w:rPr>
          <w:color w:val="ff000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spacing w:line="276" w:lineRule="auto"/>
        <w:rPr>
          <w:color w:val="1d1d1b"/>
          <w:sz w:val="24"/>
          <w:szCs w:val="24"/>
          <w:highlight w:val="white"/>
        </w:rPr>
      </w:pPr>
      <w:r w:rsidDel="00000000" w:rsidR="00000000" w:rsidRPr="00000000">
        <w:rPr>
          <w:color w:val="1d1d1b"/>
          <w:sz w:val="24"/>
          <w:szCs w:val="24"/>
          <w:highlight w:val="white"/>
          <w:rtl w:val="0"/>
        </w:rPr>
        <w:t xml:space="preserve">Forscope je najväčším sprostredkovateľom druhotného softvéru v strednej a východnej Európe, ktorý pôsobí na trhu od roku 2016. Nakupujeme a predávame softvérové produkty od známych výrobcov (najmä Microsoft a Autodesk), čím pomáhame klientom ušetriť až 70 % nákladov. Sídlo spoločnosti Forscope sa nachádza v Brne v Českej republike, ale máme zastúpenie v ďalších 9 krajinách EÚ. Naša spoločnosť je certifikovaným partnerom spoločnosti Microsoft, distribútorom IceWarp, držiteľom certifikátov ISO 9001:2015 a ISO 27001:2013.</w:t>
      </w:r>
    </w:p>
    <w:p w:rsidR="00000000" w:rsidDel="00000000" w:rsidP="00000000" w:rsidRDefault="00000000" w:rsidRPr="00000000" w14:paraId="0000001B">
      <w:pPr>
        <w:spacing w:line="276" w:lineRule="auto"/>
        <w:jc w:val="left"/>
        <w:rPr>
          <w:color w:val="1d1d1b"/>
          <w:sz w:val="24"/>
          <w:szCs w:val="24"/>
          <w:highlight w:val="white"/>
        </w:rPr>
      </w:pPr>
      <w:r w:rsidDel="00000000" w:rsidR="00000000" w:rsidRPr="00000000">
        <w:rPr>
          <w:rtl w:val="0"/>
        </w:rPr>
      </w:r>
    </w:p>
    <w:p w:rsidR="00000000" w:rsidDel="00000000" w:rsidP="00000000" w:rsidRDefault="00000000" w:rsidRPr="00000000" w14:paraId="0000001C">
      <w:pPr>
        <w:spacing w:line="276" w:lineRule="auto"/>
        <w:jc w:val="left"/>
        <w:rPr>
          <w:sz w:val="24"/>
          <w:szCs w:val="24"/>
        </w:rPr>
      </w:pPr>
      <w:r w:rsidDel="00000000" w:rsidR="00000000" w:rsidRPr="00000000">
        <w:rPr>
          <w:rtl w:val="0"/>
        </w:rPr>
      </w:r>
    </w:p>
    <w:p w:rsidR="00000000" w:rsidDel="00000000" w:rsidP="00000000" w:rsidRDefault="00000000" w:rsidRPr="00000000" w14:paraId="0000001D">
      <w:pPr>
        <w:spacing w:line="276" w:lineRule="auto"/>
        <w:jc w:val="left"/>
        <w:rPr>
          <w:b w:val="1"/>
          <w:sz w:val="24"/>
          <w:szCs w:val="24"/>
        </w:rPr>
      </w:pPr>
      <w:r w:rsidDel="00000000" w:rsidR="00000000" w:rsidRPr="00000000">
        <w:rPr>
          <w:b w:val="1"/>
          <w:sz w:val="24"/>
          <w:szCs w:val="24"/>
          <w:rtl w:val="0"/>
        </w:rPr>
        <w:t xml:space="preserve">Zdroje</w:t>
      </w:r>
    </w:p>
    <w:p w:rsidR="00000000" w:rsidDel="00000000" w:rsidP="00000000" w:rsidRDefault="00000000" w:rsidRPr="00000000" w14:paraId="0000001E">
      <w:pPr>
        <w:spacing w:after="380" w:line="276" w:lineRule="auto"/>
        <w:jc w:val="left"/>
        <w:rPr>
          <w:color w:val="111111"/>
          <w:sz w:val="24"/>
          <w:szCs w:val="24"/>
          <w:u w:val="single"/>
        </w:rPr>
      </w:pPr>
      <w:r w:rsidDel="00000000" w:rsidR="00000000" w:rsidRPr="00000000">
        <w:rPr>
          <w:color w:val="1d1d1b"/>
          <w:sz w:val="24"/>
          <w:szCs w:val="24"/>
          <w:rtl w:val="0"/>
        </w:rPr>
        <w:t xml:space="preserve">Oficiálne oznámenie spoločnosti Microsoft: https:</w:t>
      </w:r>
      <w:hyperlink r:id="rId10">
        <w:r w:rsidDel="00000000" w:rsidR="00000000" w:rsidRPr="00000000">
          <w:rPr>
            <w:color w:val="111111"/>
            <w:sz w:val="24"/>
            <w:szCs w:val="24"/>
            <w:u w:val="single"/>
            <w:rtl w:val="0"/>
          </w:rPr>
          <w:t xml:space="preserve">//www.microsoft.com/en-us/licensing/news/Microsoft365-Teams-EEA</w:t>
        </w:r>
      </w:hyperlink>
      <w:r w:rsidDel="00000000" w:rsidR="00000000" w:rsidRPr="00000000">
        <w:rPr>
          <w:rtl w:val="0"/>
        </w:rPr>
      </w:r>
    </w:p>
    <w:p w:rsidR="00000000" w:rsidDel="00000000" w:rsidP="00000000" w:rsidRDefault="00000000" w:rsidRPr="00000000" w14:paraId="0000001F">
      <w:pPr>
        <w:spacing w:line="276" w:lineRule="auto"/>
        <w:jc w:val="left"/>
        <w:rPr>
          <w:sz w:val="24"/>
          <w:szCs w:val="24"/>
        </w:rPr>
      </w:pPr>
      <w:r w:rsidDel="00000000" w:rsidR="00000000" w:rsidRPr="00000000">
        <w:rPr>
          <w:color w:val="1d1d1b"/>
          <w:sz w:val="24"/>
          <w:szCs w:val="24"/>
          <w:rtl w:val="0"/>
        </w:rPr>
        <w:t xml:space="preserve">Tlačová správa Európskej komisie: https:</w:t>
      </w:r>
      <w:hyperlink r:id="rId11">
        <w:r w:rsidDel="00000000" w:rsidR="00000000" w:rsidRPr="00000000">
          <w:rPr>
            <w:color w:val="111111"/>
            <w:sz w:val="24"/>
            <w:szCs w:val="24"/>
            <w:u w:val="single"/>
            <w:rtl w:val="0"/>
          </w:rPr>
          <w:t xml:space="preserve">//ec.europa.eu/commission/presscorner/detail/en/ip_23_3991</w:t>
        </w:r>
      </w:hyperlink>
      <w:r w:rsidDel="00000000" w:rsidR="00000000" w:rsidRPr="00000000">
        <w:rPr>
          <w:rtl w:val="0"/>
        </w:rPr>
      </w:r>
    </w:p>
    <w:p w:rsidR="00000000" w:rsidDel="00000000" w:rsidP="00000000" w:rsidRDefault="00000000" w:rsidRPr="00000000" w14:paraId="00000020">
      <w:pPr>
        <w:spacing w:line="276" w:lineRule="auto"/>
        <w:jc w:val="left"/>
        <w:rPr>
          <w:sz w:val="24"/>
          <w:szCs w:val="24"/>
        </w:rPr>
      </w:pPr>
      <w:r w:rsidDel="00000000" w:rsidR="00000000" w:rsidRPr="00000000">
        <w:rPr>
          <w:rtl w:val="0"/>
        </w:rPr>
      </w:r>
    </w:p>
    <w:p w:rsidR="00000000" w:rsidDel="00000000" w:rsidP="00000000" w:rsidRDefault="00000000" w:rsidRPr="00000000" w14:paraId="00000021">
      <w:pPr>
        <w:spacing w:line="276" w:lineRule="auto"/>
        <w:jc w:val="left"/>
        <w:rPr>
          <w:b w:val="1"/>
          <w:sz w:val="24"/>
          <w:szCs w:val="24"/>
        </w:rPr>
      </w:pPr>
      <w:r w:rsidDel="00000000" w:rsidR="00000000" w:rsidRPr="00000000">
        <w:rPr>
          <w:rtl w:val="0"/>
        </w:rPr>
      </w:r>
    </w:p>
    <w:p w:rsidR="00000000" w:rsidDel="00000000" w:rsidP="00000000" w:rsidRDefault="00000000" w:rsidRPr="00000000" w14:paraId="00000022">
      <w:pPr>
        <w:spacing w:line="276" w:lineRule="auto"/>
        <w:jc w:val="left"/>
        <w:rPr>
          <w:b w:val="1"/>
          <w:sz w:val="24"/>
          <w:szCs w:val="24"/>
        </w:rPr>
      </w:pPr>
      <w:r w:rsidDel="00000000" w:rsidR="00000000" w:rsidRPr="00000000">
        <w:rPr>
          <w:rtl w:val="0"/>
        </w:rPr>
      </w:r>
    </w:p>
    <w:p w:rsidR="00000000" w:rsidDel="00000000" w:rsidP="00000000" w:rsidRDefault="00000000" w:rsidRPr="00000000" w14:paraId="00000023">
      <w:pPr>
        <w:spacing w:line="276" w:lineRule="auto"/>
        <w:jc w:val="left"/>
        <w:rPr>
          <w:b w:val="1"/>
          <w:sz w:val="24"/>
          <w:szCs w:val="24"/>
        </w:rPr>
      </w:pPr>
      <w:r w:rsidDel="00000000" w:rsidR="00000000" w:rsidRPr="00000000">
        <w:rPr>
          <w:rtl w:val="0"/>
        </w:rPr>
      </w:r>
    </w:p>
    <w:p w:rsidR="00000000" w:rsidDel="00000000" w:rsidP="00000000" w:rsidRDefault="00000000" w:rsidRPr="00000000" w14:paraId="00000024">
      <w:pPr>
        <w:spacing w:line="276" w:lineRule="auto"/>
        <w:jc w:val="left"/>
        <w:rPr>
          <w:b w:val="1"/>
          <w:sz w:val="24"/>
          <w:szCs w:val="24"/>
        </w:rPr>
      </w:pPr>
      <w:r w:rsidDel="00000000" w:rsidR="00000000" w:rsidRPr="00000000">
        <w:rPr>
          <w:rtl w:val="0"/>
        </w:rPr>
      </w:r>
    </w:p>
    <w:p w:rsidR="00000000" w:rsidDel="00000000" w:rsidP="00000000" w:rsidRDefault="00000000" w:rsidRPr="00000000" w14:paraId="00000025">
      <w:pPr>
        <w:spacing w:line="276" w:lineRule="auto"/>
        <w:jc w:val="left"/>
        <w:rPr>
          <w:b w:val="1"/>
          <w:sz w:val="24"/>
          <w:szCs w:val="24"/>
        </w:rPr>
      </w:pPr>
      <w:r w:rsidDel="00000000" w:rsidR="00000000" w:rsidRPr="00000000">
        <w:rPr>
          <w:rtl w:val="0"/>
        </w:rPr>
      </w:r>
    </w:p>
    <w:p w:rsidR="00000000" w:rsidDel="00000000" w:rsidP="00000000" w:rsidRDefault="00000000" w:rsidRPr="00000000" w14:paraId="00000026">
      <w:pPr>
        <w:spacing w:line="276" w:lineRule="auto"/>
        <w:jc w:val="left"/>
        <w:rPr>
          <w:sz w:val="24"/>
          <w:szCs w:val="24"/>
        </w:rPr>
      </w:pPr>
      <w:r w:rsidDel="00000000" w:rsidR="00000000" w:rsidRPr="00000000">
        <w:rPr>
          <w:b w:val="1"/>
          <w:sz w:val="24"/>
          <w:szCs w:val="24"/>
          <w:rtl w:val="0"/>
        </w:rPr>
        <w:t xml:space="preserve">Kontakt</w:t>
      </w:r>
      <w:r w:rsidDel="00000000" w:rsidR="00000000" w:rsidRPr="00000000">
        <w:rPr>
          <w:rtl w:val="0"/>
        </w:rPr>
      </w:r>
    </w:p>
    <w:p w:rsidR="00000000" w:rsidDel="00000000" w:rsidP="00000000" w:rsidRDefault="00000000" w:rsidRPr="00000000" w14:paraId="00000027">
      <w:pPr>
        <w:spacing w:line="276" w:lineRule="auto"/>
        <w:jc w:val="left"/>
        <w:rPr>
          <w:sz w:val="24"/>
          <w:szCs w:val="24"/>
        </w:rPr>
      </w:pPr>
      <w:r w:rsidDel="00000000" w:rsidR="00000000" w:rsidRPr="00000000">
        <w:rPr>
          <w:sz w:val="24"/>
          <w:szCs w:val="24"/>
          <w:rtl w:val="0"/>
        </w:rPr>
        <w:t xml:space="preserve">Filip Moravec</w:t>
      </w:r>
    </w:p>
    <w:p w:rsidR="00000000" w:rsidDel="00000000" w:rsidP="00000000" w:rsidRDefault="00000000" w:rsidRPr="00000000" w14:paraId="00000028">
      <w:pPr>
        <w:spacing w:line="276" w:lineRule="auto"/>
        <w:jc w:val="left"/>
        <w:rPr>
          <w:sz w:val="24"/>
          <w:szCs w:val="24"/>
        </w:rPr>
      </w:pPr>
      <w:r w:rsidDel="00000000" w:rsidR="00000000" w:rsidRPr="00000000">
        <w:rPr>
          <w:sz w:val="24"/>
          <w:szCs w:val="24"/>
          <w:rtl w:val="0"/>
        </w:rPr>
        <w:t xml:space="preserve">Poradca pre PR</w:t>
      </w:r>
    </w:p>
    <w:p w:rsidR="00000000" w:rsidDel="00000000" w:rsidP="00000000" w:rsidRDefault="00000000" w:rsidRPr="00000000" w14:paraId="00000029">
      <w:pPr>
        <w:spacing w:line="276" w:lineRule="auto"/>
        <w:jc w:val="left"/>
        <w:rPr>
          <w:sz w:val="24"/>
          <w:szCs w:val="24"/>
        </w:rPr>
      </w:pPr>
      <w:hyperlink r:id="rId12">
        <w:r w:rsidDel="00000000" w:rsidR="00000000" w:rsidRPr="00000000">
          <w:rPr>
            <w:color w:val="1155cc"/>
            <w:sz w:val="24"/>
            <w:szCs w:val="24"/>
            <w:u w:val="single"/>
            <w:rtl w:val="0"/>
          </w:rPr>
          <w:t xml:space="preserve">f.moravec@forscope.eu </w:t>
        </w:r>
      </w:hyperlink>
      <w:r w:rsidDel="00000000" w:rsidR="00000000" w:rsidRPr="00000000">
        <w:rPr>
          <w:rtl w:val="0"/>
        </w:rPr>
      </w:r>
    </w:p>
    <w:p w:rsidR="00000000" w:rsidDel="00000000" w:rsidP="00000000" w:rsidRDefault="00000000" w:rsidRPr="00000000" w14:paraId="0000002A">
      <w:pPr>
        <w:spacing w:line="276" w:lineRule="auto"/>
        <w:jc w:val="left"/>
        <w:rPr>
          <w:sz w:val="24"/>
          <w:szCs w:val="24"/>
        </w:rPr>
      </w:pPr>
      <w:r w:rsidDel="00000000" w:rsidR="00000000" w:rsidRPr="00000000">
        <w:rPr>
          <w:sz w:val="24"/>
          <w:szCs w:val="24"/>
          <w:rtl w:val="0"/>
        </w:rPr>
        <w:t xml:space="preserve">+420 732 528 691</w:t>
      </w:r>
    </w:p>
    <w:p w:rsidR="00000000" w:rsidDel="00000000" w:rsidP="00000000" w:rsidRDefault="00000000" w:rsidRPr="00000000" w14:paraId="0000002B">
      <w:pPr>
        <w:rPr/>
      </w:pPr>
      <w:r w:rsidDel="00000000" w:rsidR="00000000" w:rsidRPr="00000000">
        <w:rPr>
          <w:rtl w:val="0"/>
        </w:rPr>
      </w:r>
    </w:p>
    <w:sectPr>
      <w:headerReference r:id="rId13" w:type="default"/>
      <w:headerReference r:id="rId14" w:type="first"/>
      <w:footerReference r:id="rId15" w:type="default"/>
      <w:footerReference r:id="rId16" w:type="first"/>
      <w:pgSz w:h="16834" w:w="11909" w:orient="portrait"/>
      <w:pgMar w:bottom="2267.716535433071" w:top="2834.645669291339" w:left="850.3937007874016" w:right="850.3937007874016" w:header="283.46456692913387" w:footer="283.4645669291338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widowControl w:val="0"/>
      <w:spacing w:line="240" w:lineRule="auto"/>
      <w:ind w:right="10.275590551182177"/>
      <w:jc w:val="right"/>
      <w:rPr>
        <w:color w:val="999999"/>
        <w:sz w:val="18"/>
        <w:szCs w:val="18"/>
      </w:rPr>
    </w:pPr>
    <w:r w:rsidDel="00000000" w:rsidR="00000000" w:rsidRPr="00000000">
      <w:rPr>
        <w:color w:val="999999"/>
        <w:sz w:val="18"/>
        <w:szCs w:val="18"/>
      </w:rPr>
      <w:fldChar w:fldCharType="begin"/>
      <w:instrText xml:space="preserve">PAGE</w:instrText>
      <w:fldChar w:fldCharType="separate"/>
      <w:fldChar w:fldCharType="end"/>
    </w:r>
    <w:r w:rsidDel="00000000" w:rsidR="00000000" w:rsidRPr="00000000">
      <w:rPr>
        <w:color w:val="999999"/>
        <w:sz w:val="18"/>
        <w:szCs w:val="18"/>
        <w:rtl w:val="0"/>
      </w:rPr>
      <w:t xml:space="preserve"> / </w:t>
    </w:r>
    <w:r w:rsidDel="00000000" w:rsidR="00000000" w:rsidRPr="00000000">
      <w:rPr>
        <w:color w:val="999999"/>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A">
    <w:pPr>
      <w:jc w:val="right"/>
      <w:rPr>
        <w:sz w:val="16"/>
        <w:szCs w:val="16"/>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wp:posOffset>
          </wp:positionH>
          <wp:positionV relativeFrom="paragraph">
            <wp:posOffset>223836</wp:posOffset>
          </wp:positionV>
          <wp:extent cx="390525" cy="393700"/>
          <wp:effectExtent b="0" l="0" r="0" t="0"/>
          <wp:wrapNone/>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390525" cy="393700"/>
                  </a:xfrm>
                  <a:prstGeom prst="rect"/>
                  <a:ln/>
                </pic:spPr>
              </pic:pic>
            </a:graphicData>
          </a:graphic>
        </wp:anchor>
      </w:drawing>
    </w:r>
  </w:p>
  <w:tbl>
    <w:tblPr>
      <w:tblStyle w:val="Table2"/>
      <w:tblW w:w="9667.5" w:type="dxa"/>
      <w:jc w:val="left"/>
      <w:tblInd w:w="7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3270"/>
      <w:gridCol w:w="2580"/>
      <w:gridCol w:w="3585"/>
      <w:tblGridChange w:id="0">
        <w:tblGrid>
          <w:gridCol w:w="232.5"/>
          <w:gridCol w:w="3270"/>
          <w:gridCol w:w="2580"/>
          <w:gridCol w:w="3585"/>
        </w:tblGrid>
      </w:tblGridChange>
    </w:tblGrid>
    <w:tr>
      <w:trPr>
        <w:cantSplit w:val="1"/>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40" w:hanging="720"/>
            <w:jc w:val="left"/>
            <w:rPr>
              <w:rFonts w:ascii="Proxima Nova" w:cs="Proxima Nova" w:eastAsia="Proxima Nova" w:hAnsi="Proxima Nova"/>
              <w:color w:val="222222"/>
              <w:sz w:val="16"/>
              <w:szCs w:val="16"/>
              <w:highlight w:val="whit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C">
          <w:pPr>
            <w:widowControl w:val="0"/>
            <w:spacing w:after="0" w:line="240" w:lineRule="auto"/>
            <w:rPr>
              <w:rFonts w:ascii="Proxima Nova" w:cs="Proxima Nova" w:eastAsia="Proxima Nova" w:hAnsi="Proxima Nova"/>
              <w:b w:val="1"/>
              <w:color w:val="222222"/>
              <w:sz w:val="16"/>
              <w:szCs w:val="16"/>
              <w:highlight w:val="white"/>
            </w:rPr>
          </w:pPr>
          <w:r w:rsidDel="00000000" w:rsidR="00000000" w:rsidRPr="00000000">
            <w:rPr>
              <w:b w:val="1"/>
              <w:color w:val="222222"/>
              <w:sz w:val="16"/>
              <w:szCs w:val="16"/>
              <w:highlight w:val="white"/>
              <w:rtl w:val="0"/>
            </w:rPr>
            <w:t xml:space="preserve">Adresa</w:t>
          </w:r>
          <w:r w:rsidDel="00000000" w:rsidR="00000000" w:rsidRPr="00000000">
            <w:rPr>
              <w:rtl w:val="0"/>
            </w:rPr>
          </w:r>
        </w:p>
        <w:p w:rsidR="00000000" w:rsidDel="00000000" w:rsidP="00000000" w:rsidRDefault="00000000" w:rsidRPr="00000000" w14:paraId="0000003D">
          <w:pPr>
            <w:widowControl w:val="0"/>
            <w:spacing w:after="0" w:line="240" w:lineRule="auto"/>
            <w:rPr>
              <w:rFonts w:ascii="Proxima Nova" w:cs="Proxima Nova" w:eastAsia="Proxima Nova" w:hAnsi="Proxima Nova"/>
              <w:color w:val="222222"/>
              <w:sz w:val="16"/>
              <w:szCs w:val="16"/>
              <w:highlight w:val="white"/>
            </w:rPr>
          </w:pPr>
          <w:r w:rsidDel="00000000" w:rsidR="00000000" w:rsidRPr="00000000">
            <w:rPr>
              <w:color w:val="222222"/>
              <w:sz w:val="16"/>
              <w:szCs w:val="16"/>
              <w:highlight w:val="white"/>
              <w:rtl w:val="0"/>
            </w:rPr>
            <w:t xml:space="preserve">Forscope a.s.</w:t>
          </w:r>
          <w:r w:rsidDel="00000000" w:rsidR="00000000" w:rsidRPr="00000000">
            <w:rPr>
              <w:rtl w:val="0"/>
            </w:rPr>
          </w:r>
        </w:p>
        <w:p w:rsidR="00000000" w:rsidDel="00000000" w:rsidP="00000000" w:rsidRDefault="00000000" w:rsidRPr="00000000" w14:paraId="0000003E">
          <w:pPr>
            <w:widowControl w:val="0"/>
            <w:spacing w:after="0" w:line="240" w:lineRule="auto"/>
            <w:rPr>
              <w:rFonts w:ascii="Proxima Nova" w:cs="Proxima Nova" w:eastAsia="Proxima Nova" w:hAnsi="Proxima Nova"/>
              <w:color w:val="222222"/>
              <w:sz w:val="16"/>
              <w:szCs w:val="16"/>
              <w:highlight w:val="white"/>
            </w:rPr>
          </w:pPr>
          <w:r w:rsidDel="00000000" w:rsidR="00000000" w:rsidRPr="00000000">
            <w:rPr>
              <w:color w:val="222222"/>
              <w:sz w:val="16"/>
              <w:szCs w:val="16"/>
              <w:highlight w:val="white"/>
              <w:rtl w:val="0"/>
            </w:rPr>
            <w:t xml:space="preserve">Lidická 960/81</w:t>
          </w:r>
          <w:r w:rsidDel="00000000" w:rsidR="00000000" w:rsidRPr="00000000">
            <w:rPr>
              <w:rFonts w:ascii="Proxima Nova" w:cs="Proxima Nova" w:eastAsia="Proxima Nova" w:hAnsi="Proxima Nova"/>
              <w:color w:val="222222"/>
              <w:sz w:val="16"/>
              <w:szCs w:val="16"/>
              <w:highlight w:val="white"/>
              <w:rtl w:val="0"/>
            </w:rPr>
            <w:t xml:space="preserve">, 602 00 Brno</w:t>
          </w:r>
        </w:p>
        <w:p w:rsidR="00000000" w:rsidDel="00000000" w:rsidP="00000000" w:rsidRDefault="00000000" w:rsidRPr="00000000" w14:paraId="0000003F">
          <w:pPr>
            <w:widowControl w:val="0"/>
            <w:spacing w:after="0" w:line="240" w:lineRule="auto"/>
            <w:rPr>
              <w:rFonts w:ascii="Proxima Nova" w:cs="Proxima Nova" w:eastAsia="Proxima Nova" w:hAnsi="Proxima Nova"/>
              <w:b w:val="1"/>
              <w:color w:val="222222"/>
              <w:sz w:val="16"/>
              <w:szCs w:val="16"/>
              <w:highlight w:val="white"/>
            </w:rPr>
          </w:pPr>
          <w:r w:rsidDel="00000000" w:rsidR="00000000" w:rsidRPr="00000000">
            <w:rPr>
              <w:rFonts w:ascii="Proxima Nova" w:cs="Proxima Nova" w:eastAsia="Proxima Nova" w:hAnsi="Proxima Nova"/>
              <w:color w:val="222222"/>
              <w:sz w:val="16"/>
              <w:szCs w:val="16"/>
              <w:highlight w:val="white"/>
              <w:rtl w:val="0"/>
            </w:rPr>
            <w:t xml:space="preserve">Česká republika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0">
          <w:pPr>
            <w:widowControl w:val="0"/>
            <w:spacing w:after="0" w:line="240" w:lineRule="auto"/>
            <w:ind w:left="141.7322834645671" w:firstLine="0"/>
            <w:rPr>
              <w:rFonts w:ascii="Proxima Nova" w:cs="Proxima Nova" w:eastAsia="Proxima Nova" w:hAnsi="Proxima Nova"/>
              <w:b w:val="1"/>
              <w:color w:val="222222"/>
              <w:sz w:val="16"/>
              <w:szCs w:val="16"/>
              <w:highlight w:val="white"/>
            </w:rPr>
          </w:pPr>
          <w:r w:rsidDel="00000000" w:rsidR="00000000" w:rsidRPr="00000000">
            <w:rPr>
              <w:b w:val="1"/>
              <w:color w:val="222222"/>
              <w:sz w:val="16"/>
              <w:szCs w:val="16"/>
              <w:highlight w:val="white"/>
              <w:rtl w:val="0"/>
            </w:rPr>
            <w:t xml:space="preserve">Certifikáty</w:t>
          </w:r>
          <w:r w:rsidDel="00000000" w:rsidR="00000000" w:rsidRPr="00000000">
            <w:rPr>
              <w:rtl w:val="0"/>
            </w:rPr>
          </w:r>
        </w:p>
        <w:p w:rsidR="00000000" w:rsidDel="00000000" w:rsidP="00000000" w:rsidRDefault="00000000" w:rsidRPr="00000000" w14:paraId="00000041">
          <w:pPr>
            <w:widowControl w:val="0"/>
            <w:spacing w:after="0" w:line="240" w:lineRule="auto"/>
            <w:ind w:left="141.7322834645671" w:firstLine="0"/>
            <w:rPr>
              <w:color w:val="222222"/>
              <w:sz w:val="16"/>
              <w:szCs w:val="16"/>
              <w:highlight w:val="white"/>
            </w:rPr>
          </w:pPr>
          <w:r w:rsidDel="00000000" w:rsidR="00000000" w:rsidRPr="00000000">
            <w:rPr>
              <w:color w:val="222222"/>
              <w:sz w:val="16"/>
              <w:szCs w:val="16"/>
              <w:highlight w:val="white"/>
              <w:rtl w:val="0"/>
            </w:rPr>
            <w:t xml:space="preserve">Certifikát ISO 9001:2015</w:t>
          </w:r>
        </w:p>
        <w:p w:rsidR="00000000" w:rsidDel="00000000" w:rsidP="00000000" w:rsidRDefault="00000000" w:rsidRPr="00000000" w14:paraId="00000042">
          <w:pPr>
            <w:widowControl w:val="0"/>
            <w:spacing w:line="240" w:lineRule="auto"/>
            <w:ind w:left="141.7322834645671" w:firstLine="0"/>
            <w:rPr>
              <w:color w:val="222222"/>
              <w:sz w:val="16"/>
              <w:szCs w:val="16"/>
              <w:highlight w:val="white"/>
            </w:rPr>
          </w:pPr>
          <w:r w:rsidDel="00000000" w:rsidR="00000000" w:rsidRPr="00000000">
            <w:rPr>
              <w:color w:val="222222"/>
              <w:sz w:val="16"/>
              <w:szCs w:val="16"/>
              <w:highlight w:val="white"/>
              <w:rtl w:val="0"/>
            </w:rPr>
            <w:t xml:space="preserve">Certifikát ISO 27001:2013</w:t>
          </w:r>
        </w:p>
        <w:p w:rsidR="00000000" w:rsidDel="00000000" w:rsidP="00000000" w:rsidRDefault="00000000" w:rsidRPr="00000000" w14:paraId="00000043">
          <w:pPr>
            <w:widowControl w:val="0"/>
            <w:spacing w:after="0" w:line="240" w:lineRule="auto"/>
            <w:ind w:left="141.7322834645671" w:firstLine="0"/>
            <w:jc w:val="left"/>
            <w:rPr>
              <w:rFonts w:ascii="Proxima Nova" w:cs="Proxima Nova" w:eastAsia="Proxima Nova" w:hAnsi="Proxima Nova"/>
              <w:b w:val="1"/>
              <w:color w:val="222222"/>
              <w:sz w:val="16"/>
              <w:szCs w:val="16"/>
              <w:highlight w:val="white"/>
            </w:rPr>
          </w:pPr>
          <w:r w:rsidDel="00000000" w:rsidR="00000000" w:rsidRPr="00000000">
            <w:rPr>
              <w:color w:val="222222"/>
              <w:sz w:val="16"/>
              <w:szCs w:val="16"/>
              <w:highlight w:val="white"/>
              <w:rtl w:val="0"/>
            </w:rPr>
            <w:t xml:space="preserve">Certifikovaný odborník BSA SAM</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4">
          <w:pPr>
            <w:spacing w:line="240" w:lineRule="auto"/>
            <w:ind w:right="221.69291338582752"/>
            <w:jc w:val="right"/>
            <w:rPr/>
          </w:pPr>
          <w:r w:rsidDel="00000000" w:rsidR="00000000" w:rsidRPr="00000000">
            <w:rPr>
              <w:b w:val="1"/>
              <w:color w:val="222222"/>
              <w:sz w:val="16"/>
              <w:szCs w:val="16"/>
              <w:highlight w:val="white"/>
            </w:rPr>
            <w:drawing>
              <wp:inline distB="114300" distT="114300" distL="114300" distR="114300">
                <wp:extent cx="792000" cy="328680"/>
                <wp:effectExtent b="0" l="0" r="0" t="0"/>
                <wp:docPr id="4"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792000" cy="328680"/>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widowControl w:val="0"/>
            <w:spacing w:after="0" w:line="240" w:lineRule="auto"/>
            <w:ind w:right="221.69291338582752"/>
            <w:jc w:val="right"/>
            <w:rPr>
              <w:rFonts w:ascii="Proxima Nova" w:cs="Proxima Nova" w:eastAsia="Proxima Nova" w:hAnsi="Proxima Nova"/>
              <w:sz w:val="16"/>
              <w:szCs w:val="16"/>
            </w:rPr>
          </w:pPr>
          <w:r w:rsidDel="00000000" w:rsidR="00000000" w:rsidRPr="00000000">
            <w:rPr>
              <w:rtl w:val="0"/>
            </w:rPr>
          </w:r>
        </w:p>
      </w:tc>
    </w:tr>
  </w:tbl>
  <w:p w:rsidR="00000000" w:rsidDel="00000000" w:rsidP="00000000" w:rsidRDefault="00000000" w:rsidRPr="00000000" w14:paraId="00000046">
    <w:pPr>
      <w:rPr>
        <w:rFonts w:ascii="Proxima Nova" w:cs="Proxima Nova" w:eastAsia="Proxima Nova" w:hAnsi="Proxima Nova"/>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pict>
        <v:shape id="WordPictureWatermark1" style="position:absolute;width:738.5592125984251pt;height:291.97708661417323pt;rotation:0;z-index:-503316481;mso-position-horizontal-relative:margin;mso-position-horizontal:center;mso-position-vertical-relative:margin;mso-position-vertical:center;" alt="" type="#_x0000_t75">
          <v:imagedata blacklevel="22938f" cropbottom="0f" cropleft="0f" cropright="0f" croptop="0f" gain="19661f" r:id="rId1" o:title="image5.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spacing w:line="240" w:lineRule="auto"/>
      <w:ind w:left="0" w:firstLine="0"/>
      <w:jc w:val="left"/>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-209546</wp:posOffset>
          </wp:positionH>
          <wp:positionV relativeFrom="paragraph">
            <wp:posOffset>114300</wp:posOffset>
          </wp:positionV>
          <wp:extent cx="1972368" cy="63438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72368" cy="634388"/>
                  </a:xfrm>
                  <a:prstGeom prst="rect"/>
                  <a:ln/>
                </pic:spPr>
              </pic:pic>
            </a:graphicData>
          </a:graphic>
        </wp:anchor>
      </w:drawing>
    </w:r>
  </w:p>
  <w:tbl>
    <w:tblPr>
      <w:tblStyle w:val="Table1"/>
      <w:tblW w:w="102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95"/>
      <w:gridCol w:w="6195"/>
      <w:tblGridChange w:id="0">
        <w:tblGrid>
          <w:gridCol w:w="4095"/>
          <w:gridCol w:w="6195"/>
        </w:tblGrid>
      </w:tblGridChange>
    </w:tblGrid>
    <w:tr>
      <w:trPr>
        <w:cantSplit w:val="0"/>
        <w:trHeight w:val="43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Proxima Nova" w:cs="Proxima Nova" w:eastAsia="Proxima Nova" w:hAnsi="Proxima Nova"/>
              <w:b w:val="1"/>
              <w:color w:val="ff6621"/>
            </w:rPr>
          </w:pPr>
          <w:r w:rsidDel="00000000" w:rsidR="00000000" w:rsidRPr="00000000">
            <w:rPr>
              <w:b w:val="1"/>
              <w:color w:val="ff6621"/>
              <w:rtl w:val="0"/>
            </w:rPr>
            <w:t xml:space="preserve">Same value</w:t>
          </w:r>
          <w:r w:rsidDel="00000000" w:rsidR="00000000" w:rsidRPr="00000000">
            <w:rPr>
              <w:rFonts w:ascii="Proxima Nova" w:cs="Proxima Nova" w:eastAsia="Proxima Nova" w:hAnsi="Proxima Nova"/>
              <w:b w:val="1"/>
              <w:color w:val="ff6621"/>
              <w:rtl w:val="0"/>
            </w:rPr>
            <w:t xml:space="preserve">, </w:t>
          </w:r>
          <w:r w:rsidDel="00000000" w:rsidR="00000000" w:rsidRPr="00000000">
            <w:rPr>
              <w:b w:val="1"/>
              <w:color w:val="ff6621"/>
              <w:rtl w:val="0"/>
            </w:rPr>
            <w:t xml:space="preserve">better price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0.51181102362307" w:firstLine="0"/>
            <w:jc w:val="right"/>
            <w:rPr>
              <w:rFonts w:ascii="Proxima Nova" w:cs="Proxima Nova" w:eastAsia="Proxima Nova" w:hAnsi="Proxima Nova"/>
              <w:b w:val="1"/>
              <w:color w:val="3f185f"/>
              <w:sz w:val="18"/>
              <w:szCs w:val="18"/>
            </w:rPr>
          </w:pPr>
          <w:r w:rsidDel="00000000" w:rsidR="00000000" w:rsidRPr="00000000">
            <w:rPr>
              <w:rFonts w:ascii="Proxima Nova" w:cs="Proxima Nova" w:eastAsia="Proxima Nova" w:hAnsi="Proxima Nova"/>
              <w:b w:val="1"/>
              <w:color w:val="3f185f"/>
              <w:sz w:val="18"/>
              <w:szCs w:val="18"/>
              <w:rtl w:val="0"/>
            </w:rPr>
            <w:t xml:space="preserve">info@forscope.eu</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0.51181102362307" w:firstLine="0"/>
            <w:jc w:val="right"/>
            <w:rPr>
              <w:rFonts w:ascii="Proxima Nova" w:cs="Proxima Nova" w:eastAsia="Proxima Nova" w:hAnsi="Proxima Nova"/>
              <w:b w:val="1"/>
              <w:color w:val="3f185f"/>
              <w:sz w:val="18"/>
              <w:szCs w:val="18"/>
            </w:rPr>
          </w:pPr>
          <w:r w:rsidDel="00000000" w:rsidR="00000000" w:rsidRPr="00000000">
            <w:rPr>
              <w:rFonts w:ascii="Proxima Nova" w:cs="Proxima Nova" w:eastAsia="Proxima Nova" w:hAnsi="Proxima Nova"/>
              <w:b w:val="1"/>
              <w:color w:val="3f185f"/>
              <w:sz w:val="18"/>
              <w:szCs w:val="18"/>
              <w:rtl w:val="0"/>
            </w:rPr>
            <w:t xml:space="preserve">forscope.eu</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0.51181102362307" w:firstLine="0"/>
            <w:jc w:val="right"/>
            <w:rPr>
              <w:b w:val="1"/>
              <w:color w:val="3f185f"/>
              <w:sz w:val="18"/>
              <w:szCs w:val="18"/>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0.51181102362307" w:firstLine="0"/>
            <w:jc w:val="right"/>
            <w:rPr>
              <w:b w:val="1"/>
              <w:color w:val="3f185f"/>
              <w:sz w:val="18"/>
              <w:szCs w:val="18"/>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0.51181102362307" w:firstLine="0"/>
            <w:jc w:val="right"/>
            <w:rPr>
              <w:b w:val="1"/>
              <w:color w:val="3f185f"/>
              <w:sz w:val="18"/>
              <w:szCs w:val="18"/>
            </w:rPr>
          </w:pPr>
          <w:r w:rsidDel="00000000" w:rsidR="00000000" w:rsidRPr="00000000">
            <w:rPr>
              <w:rtl w:val="0"/>
            </w:rPr>
          </w:r>
        </w:p>
      </w:tc>
    </w:tr>
  </w:tbl>
  <w:p w:rsidR="00000000" w:rsidDel="00000000" w:rsidP="00000000" w:rsidRDefault="00000000" w:rsidRPr="00000000" w14:paraId="00000037">
    <w:pPr>
      <w:spacing w:line="240" w:lineRule="auto"/>
      <w:ind w:lef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1d1d1b"/>
        <w:sz w:val="21"/>
        <w:szCs w:val="2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lang w:val="en_GB"/>
      </w:rPr>
    </w:rPrDefault>
    <w:pPrDefault>
      <w:pPr>
        <w:spacing w:line="335.99999999999994"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400" w:line="264" w:lineRule="auto"/>
      <w:jc w:val="left"/>
    </w:pPr>
    <w:rPr>
      <w:sz w:val="40"/>
      <w:szCs w:val="40"/>
    </w:rPr>
  </w:style>
  <w:style w:type="paragraph" w:styleId="Heading2">
    <w:name w:val="heading 2"/>
    <w:basedOn w:val="Normal"/>
    <w:next w:val="Normal"/>
    <w:pPr>
      <w:keepNext w:val="1"/>
      <w:keepLines w:val="1"/>
      <w:spacing w:after="100" w:before="300" w:line="264" w:lineRule="auto"/>
      <w:jc w:val="left"/>
    </w:pPr>
    <w:rPr>
      <w:sz w:val="32"/>
      <w:szCs w:val="32"/>
    </w:rPr>
  </w:style>
  <w:style w:type="paragraph" w:styleId="Heading3">
    <w:name w:val="heading 3"/>
    <w:basedOn w:val="Normal"/>
    <w:next w:val="Normal"/>
    <w:pPr>
      <w:keepNext w:val="1"/>
      <w:keepLines w:val="1"/>
      <w:spacing w:after="100" w:before="300" w:line="264" w:lineRule="auto"/>
      <w:jc w:val="left"/>
    </w:pPr>
    <w:rPr>
      <w:sz w:val="28"/>
      <w:szCs w:val="28"/>
    </w:rPr>
  </w:style>
  <w:style w:type="paragraph" w:styleId="Heading4">
    <w:name w:val="heading 4"/>
    <w:basedOn w:val="Normal"/>
    <w:next w:val="Normal"/>
    <w:pPr>
      <w:keepNext w:val="1"/>
      <w:keepLines w:val="1"/>
      <w:spacing w:after="100" w:before="300" w:line="264" w:lineRule="auto"/>
      <w:jc w:val="left"/>
    </w:pPr>
    <w:rPr>
      <w:sz w:val="24"/>
      <w:szCs w:val="24"/>
    </w:rPr>
  </w:style>
  <w:style w:type="paragraph" w:styleId="Heading5">
    <w:name w:val="heading 5"/>
    <w:basedOn w:val="Normal"/>
    <w:next w:val="Normal"/>
    <w:pPr>
      <w:keepNext w:val="1"/>
      <w:keepLines w:val="1"/>
      <w:spacing w:after="100" w:before="300" w:line="264" w:lineRule="auto"/>
      <w:jc w:val="left"/>
    </w:pPr>
    <w:rPr>
      <w:b w:val="1"/>
    </w:rPr>
  </w:style>
  <w:style w:type="paragraph" w:styleId="Heading6">
    <w:name w:val="heading 6"/>
    <w:basedOn w:val="Normal"/>
    <w:next w:val="Normal"/>
    <w:pPr>
      <w:keepNext w:val="1"/>
      <w:keepLines w:val="1"/>
      <w:spacing w:line="240" w:lineRule="auto"/>
      <w:jc w:val="left"/>
    </w:pPr>
    <w:rPr>
      <w:color w:val="666666"/>
      <w:sz w:val="18"/>
      <w:szCs w:val="18"/>
    </w:rPr>
  </w:style>
  <w:style w:type="paragraph" w:styleId="Title">
    <w:name w:val="Title"/>
    <w:basedOn w:val="Normal"/>
    <w:next w:val="Normal"/>
    <w:pPr>
      <w:keepNext w:val="1"/>
      <w:keepLines w:val="1"/>
      <w:spacing w:after="200" w:before="200" w:line="240" w:lineRule="auto"/>
      <w:ind w:right="1979.5275590551182"/>
      <w:jc w:val="left"/>
    </w:pPr>
    <w:rPr>
      <w:sz w:val="64"/>
      <w:szCs w:val="64"/>
    </w:rPr>
  </w:style>
  <w:style w:type="paragraph" w:styleId="Subtitle">
    <w:name w:val="Subtitle"/>
    <w:basedOn w:val="Normal"/>
    <w:next w:val="Normal"/>
    <w:pPr>
      <w:keepNext w:val="1"/>
      <w:keepLines w:val="1"/>
      <w:spacing w:after="200" w:line="264" w:lineRule="auto"/>
      <w:jc w:val="left"/>
    </w:pPr>
    <w:rPr>
      <w:color w:val="ff6621"/>
      <w:sz w:val="32"/>
      <w:szCs w:val="32"/>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ec.europa.eu/commission/presscorner/detail/en/ip_23_3991" TargetMode="External"/><Relationship Id="rId10" Type="http://schemas.openxmlformats.org/officeDocument/2006/relationships/hyperlink" Target="https://www.microsoft.com/en-us/licensing/news/Microsoft365-Teams-EEA" TargetMode="External"/><Relationship Id="rId13" Type="http://schemas.openxmlformats.org/officeDocument/2006/relationships/header" Target="header2.xml"/><Relationship Id="rId12" Type="http://schemas.openxmlformats.org/officeDocument/2006/relationships/hyperlink" Target="mailto:f.moravec@forscope.e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forscope.sk/office-2021/" TargetMode="External"/><Relationship Id="rId7" Type="http://schemas.openxmlformats.org/officeDocument/2006/relationships/hyperlink" Target="https://www.forscope.sk/microsoft-teams/" TargetMode="External"/><Relationship Id="rId8" Type="http://schemas.openxmlformats.org/officeDocument/2006/relationships/hyperlink" Target="https://www.forscope.sk/icewar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